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黑体_GBK" w:eastAsia="方正黑体_GBK"/>
          <w:b/>
          <w:color w:val="1E1C11" w:themeColor="background2" w:themeShade="1A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方正黑体_GBK" w:hAnsi="Times New Roman" w:eastAsia="方正黑体_GBK" w:cs="宋体"/>
          <w:b w:val="0"/>
          <w:color w:val="1E1C11" w:themeColor="background2" w:themeShade="1A"/>
          <w:kern w:val="0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重庆市潼南区城市建设投资（集团）有限公司</w:t>
      </w:r>
    </w:p>
    <w:p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2020年员工招聘岗位情况一览表</w:t>
      </w:r>
    </w:p>
    <w:tbl>
      <w:tblPr>
        <w:tblStyle w:val="5"/>
        <w:tblW w:w="11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5"/>
        <w:gridCol w:w="1455"/>
        <w:gridCol w:w="831"/>
        <w:gridCol w:w="633"/>
        <w:gridCol w:w="1250"/>
        <w:gridCol w:w="3150"/>
        <w:gridCol w:w="834"/>
        <w:gridCol w:w="816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4" w:hRule="atLeast"/>
          <w:jc w:val="center"/>
        </w:trPr>
        <w:tc>
          <w:tcPr>
            <w:tcW w:w="73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31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3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合计（人）</w:t>
            </w:r>
          </w:p>
        </w:tc>
        <w:tc>
          <w:tcPr>
            <w:tcW w:w="7723" w:type="dxa"/>
            <w:gridSpan w:val="5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4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5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专业和工作经历</w:t>
            </w:r>
          </w:p>
        </w:tc>
        <w:tc>
          <w:tcPr>
            <w:tcW w:w="83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7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潼南区城市建设投资（集团）有限公司</w:t>
            </w:r>
          </w:p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5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eastAsia="方正仿宋_GBK" w:cs="宋体"/>
                <w:bCs/>
                <w:kern w:val="0"/>
                <w:sz w:val="24"/>
                <w:szCs w:val="24"/>
              </w:rPr>
              <w:t>本科及以上或</w:t>
            </w:r>
            <w:r>
              <w:rPr>
                <w:rFonts w:hint="eastAsia" w:eastAsia="方正仿宋_GBK" w:cs="宋体"/>
                <w:bCs/>
                <w:kern w:val="0"/>
                <w:sz w:val="24"/>
                <w:szCs w:val="24"/>
              </w:rPr>
              <w:t>与招聘岗位相应的专业</w:t>
            </w:r>
            <w:r>
              <w:rPr>
                <w:rFonts w:eastAsia="方正仿宋_GBK" w:cs="宋体"/>
                <w:bCs/>
                <w:kern w:val="0"/>
                <w:sz w:val="24"/>
                <w:szCs w:val="24"/>
              </w:rPr>
              <w:t>技术</w:t>
            </w:r>
            <w:r>
              <w:rPr>
                <w:rFonts w:hint="eastAsia" w:eastAsia="方正仿宋_GBK" w:cs="宋体"/>
                <w:bCs/>
                <w:kern w:val="0"/>
                <w:sz w:val="24"/>
                <w:szCs w:val="24"/>
              </w:rPr>
              <w:t>职称</w:t>
            </w:r>
            <w:r>
              <w:rPr>
                <w:rFonts w:eastAsia="方正仿宋_GBK" w:cs="宋体"/>
                <w:bCs/>
                <w:kern w:val="0"/>
                <w:sz w:val="24"/>
                <w:szCs w:val="24"/>
              </w:rPr>
              <w:t>在中级及以上</w:t>
            </w:r>
          </w:p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文秘；2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汉语言文学；3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新闻学</w:t>
            </w:r>
          </w:p>
        </w:tc>
        <w:tc>
          <w:tcPr>
            <w:tcW w:w="834" w:type="dxa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周岁及以下</w:t>
            </w:r>
            <w:r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不限</w:t>
            </w:r>
          </w:p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4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拆迁安置管理岗位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物业管理；2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社会工作与管理；3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地质工程</w:t>
            </w:r>
          </w:p>
        </w:tc>
        <w:tc>
          <w:tcPr>
            <w:tcW w:w="834" w:type="dxa"/>
            <w:vMerge w:val="restart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816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kern w:val="0"/>
                <w:sz w:val="24"/>
                <w:szCs w:val="24"/>
              </w:rPr>
              <w:t>会计岗位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1.会计学；2.经济学</w:t>
            </w:r>
          </w:p>
        </w:tc>
        <w:tc>
          <w:tcPr>
            <w:tcW w:w="834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bCs/>
                <w:kern w:val="0"/>
                <w:sz w:val="24"/>
                <w:szCs w:val="24"/>
              </w:rPr>
              <w:t>审计岗位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1.审计学；2.工程造价；3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财务相关专业</w:t>
            </w:r>
          </w:p>
        </w:tc>
        <w:tc>
          <w:tcPr>
            <w:tcW w:w="834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人力资源岗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1.人力资源管理</w:t>
            </w:r>
          </w:p>
        </w:tc>
        <w:tc>
          <w:tcPr>
            <w:tcW w:w="834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法务岗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法学；2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经济法学；3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民商法</w:t>
            </w:r>
          </w:p>
        </w:tc>
        <w:tc>
          <w:tcPr>
            <w:tcW w:w="834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工程管理岗位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1.土木工程；2.工程管理；3.工程造价；4.市政工程及相关专业。</w:t>
            </w:r>
          </w:p>
        </w:tc>
        <w:tc>
          <w:tcPr>
            <w:tcW w:w="834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子公司：金涪房地产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7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bCs/>
                <w:kern w:val="0"/>
                <w:sz w:val="24"/>
                <w:szCs w:val="24"/>
              </w:rPr>
              <w:t>规划技术岗位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1.工程造价；2.土木工程；3.市政、交通工程及相关专业；4.建筑学；5.工程管理及相关专业；6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艺术设计。</w:t>
            </w:r>
          </w:p>
        </w:tc>
        <w:tc>
          <w:tcPr>
            <w:tcW w:w="834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子公司：金涪房地产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4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财务管理岗位</w:t>
            </w:r>
          </w:p>
        </w:tc>
        <w:tc>
          <w:tcPr>
            <w:tcW w:w="8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会计学；2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财务相关专业。</w:t>
            </w:r>
          </w:p>
        </w:tc>
        <w:tc>
          <w:tcPr>
            <w:tcW w:w="834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子公司：金涪房地产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投资经营岗位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1.商务管理；2.酒店管理；3.市场营销；4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广告学。</w:t>
            </w:r>
          </w:p>
        </w:tc>
        <w:tc>
          <w:tcPr>
            <w:tcW w:w="834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szCs w:val="24"/>
              </w:rPr>
              <w:t>子公司：涪源商贸</w:t>
            </w:r>
          </w:p>
        </w:tc>
      </w:tr>
    </w:tbl>
    <w:p>
      <w:pPr>
        <w:spacing w:line="440" w:lineRule="exact"/>
        <w:ind w:firstLine="420" w:firstLineChars="200"/>
        <w:rPr>
          <w:rStyle w:val="7"/>
          <w:rFonts w:ascii="Times New Roman" w:hAnsi="Times New Roman" w:eastAsia="方正仿宋_GBK" w:cs="Times New Roman"/>
          <w:b w:val="0"/>
          <w:bCs w:val="0"/>
          <w:color w:val="1E1C11" w:themeColor="background2" w:themeShade="1A"/>
          <w:szCs w:val="21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026752"/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F66"/>
    <w:rsid w:val="0000585C"/>
    <w:rsid w:val="0001225C"/>
    <w:rsid w:val="00014250"/>
    <w:rsid w:val="000243F5"/>
    <w:rsid w:val="00026CD1"/>
    <w:rsid w:val="00032278"/>
    <w:rsid w:val="000360D6"/>
    <w:rsid w:val="00040FDA"/>
    <w:rsid w:val="00056BF9"/>
    <w:rsid w:val="00061181"/>
    <w:rsid w:val="00061D6D"/>
    <w:rsid w:val="00065663"/>
    <w:rsid w:val="00076014"/>
    <w:rsid w:val="00076481"/>
    <w:rsid w:val="00080980"/>
    <w:rsid w:val="0008123B"/>
    <w:rsid w:val="000851E9"/>
    <w:rsid w:val="000903B7"/>
    <w:rsid w:val="000921EF"/>
    <w:rsid w:val="000A17E6"/>
    <w:rsid w:val="000D2BD6"/>
    <w:rsid w:val="000E4F27"/>
    <w:rsid w:val="000F39B4"/>
    <w:rsid w:val="00100133"/>
    <w:rsid w:val="001068F1"/>
    <w:rsid w:val="00114D05"/>
    <w:rsid w:val="0014023D"/>
    <w:rsid w:val="00181DC6"/>
    <w:rsid w:val="00185B15"/>
    <w:rsid w:val="00192EFB"/>
    <w:rsid w:val="001A276D"/>
    <w:rsid w:val="001B6F7D"/>
    <w:rsid w:val="001E02CC"/>
    <w:rsid w:val="001F153C"/>
    <w:rsid w:val="001F37F4"/>
    <w:rsid w:val="0021378B"/>
    <w:rsid w:val="0023738D"/>
    <w:rsid w:val="002407A4"/>
    <w:rsid w:val="00261941"/>
    <w:rsid w:val="0026742E"/>
    <w:rsid w:val="00267855"/>
    <w:rsid w:val="002868B4"/>
    <w:rsid w:val="0029134B"/>
    <w:rsid w:val="002A012C"/>
    <w:rsid w:val="002C38CE"/>
    <w:rsid w:val="002C6250"/>
    <w:rsid w:val="002E3192"/>
    <w:rsid w:val="002F0BF5"/>
    <w:rsid w:val="00305C84"/>
    <w:rsid w:val="00311A80"/>
    <w:rsid w:val="00311C8C"/>
    <w:rsid w:val="00312B0B"/>
    <w:rsid w:val="00321F74"/>
    <w:rsid w:val="00323B47"/>
    <w:rsid w:val="003304B8"/>
    <w:rsid w:val="00335530"/>
    <w:rsid w:val="003423CF"/>
    <w:rsid w:val="003468B3"/>
    <w:rsid w:val="00375944"/>
    <w:rsid w:val="003867E6"/>
    <w:rsid w:val="00395F43"/>
    <w:rsid w:val="003960A6"/>
    <w:rsid w:val="003B6FA3"/>
    <w:rsid w:val="003C6287"/>
    <w:rsid w:val="003C6E3B"/>
    <w:rsid w:val="003D2C2B"/>
    <w:rsid w:val="003E4DD0"/>
    <w:rsid w:val="003F6B75"/>
    <w:rsid w:val="00421C6F"/>
    <w:rsid w:val="00423FAD"/>
    <w:rsid w:val="004323F7"/>
    <w:rsid w:val="004373E3"/>
    <w:rsid w:val="00446558"/>
    <w:rsid w:val="00451BCE"/>
    <w:rsid w:val="004574DF"/>
    <w:rsid w:val="00457983"/>
    <w:rsid w:val="00463466"/>
    <w:rsid w:val="00484CC7"/>
    <w:rsid w:val="00494853"/>
    <w:rsid w:val="004C38E3"/>
    <w:rsid w:val="004C5EFB"/>
    <w:rsid w:val="004E14E1"/>
    <w:rsid w:val="004E523F"/>
    <w:rsid w:val="004F3623"/>
    <w:rsid w:val="004F5A65"/>
    <w:rsid w:val="00500461"/>
    <w:rsid w:val="0050120A"/>
    <w:rsid w:val="00501FA6"/>
    <w:rsid w:val="005157EF"/>
    <w:rsid w:val="005320AF"/>
    <w:rsid w:val="00544D5F"/>
    <w:rsid w:val="00575DC7"/>
    <w:rsid w:val="00576FF3"/>
    <w:rsid w:val="0059187C"/>
    <w:rsid w:val="005922D5"/>
    <w:rsid w:val="00592B03"/>
    <w:rsid w:val="00597AA4"/>
    <w:rsid w:val="005A1678"/>
    <w:rsid w:val="005B14D0"/>
    <w:rsid w:val="005C2DD0"/>
    <w:rsid w:val="005C449B"/>
    <w:rsid w:val="005C56DF"/>
    <w:rsid w:val="005D702D"/>
    <w:rsid w:val="005E0147"/>
    <w:rsid w:val="00611F0E"/>
    <w:rsid w:val="0063096D"/>
    <w:rsid w:val="00637C24"/>
    <w:rsid w:val="006403BB"/>
    <w:rsid w:val="00663566"/>
    <w:rsid w:val="006638CE"/>
    <w:rsid w:val="00663C37"/>
    <w:rsid w:val="006777B9"/>
    <w:rsid w:val="00677A42"/>
    <w:rsid w:val="006806A9"/>
    <w:rsid w:val="00685FF8"/>
    <w:rsid w:val="0069363B"/>
    <w:rsid w:val="006A182A"/>
    <w:rsid w:val="006A3A16"/>
    <w:rsid w:val="006B584E"/>
    <w:rsid w:val="006C50C3"/>
    <w:rsid w:val="006C73A4"/>
    <w:rsid w:val="006F368F"/>
    <w:rsid w:val="00705647"/>
    <w:rsid w:val="00705845"/>
    <w:rsid w:val="00710F75"/>
    <w:rsid w:val="00715F7C"/>
    <w:rsid w:val="00722E84"/>
    <w:rsid w:val="00734C44"/>
    <w:rsid w:val="007405C8"/>
    <w:rsid w:val="00756EC1"/>
    <w:rsid w:val="00761C6B"/>
    <w:rsid w:val="00766493"/>
    <w:rsid w:val="007678FF"/>
    <w:rsid w:val="00771BCD"/>
    <w:rsid w:val="007802D7"/>
    <w:rsid w:val="0078087D"/>
    <w:rsid w:val="00790C71"/>
    <w:rsid w:val="007A137F"/>
    <w:rsid w:val="007A2548"/>
    <w:rsid w:val="007D3433"/>
    <w:rsid w:val="007D76E3"/>
    <w:rsid w:val="007E6F53"/>
    <w:rsid w:val="007F7C19"/>
    <w:rsid w:val="00811A8B"/>
    <w:rsid w:val="0085413C"/>
    <w:rsid w:val="00872F0B"/>
    <w:rsid w:val="008855D5"/>
    <w:rsid w:val="008B66BC"/>
    <w:rsid w:val="008C156C"/>
    <w:rsid w:val="008C7CAF"/>
    <w:rsid w:val="009115E2"/>
    <w:rsid w:val="00916916"/>
    <w:rsid w:val="00922C0F"/>
    <w:rsid w:val="00934653"/>
    <w:rsid w:val="00937735"/>
    <w:rsid w:val="00942977"/>
    <w:rsid w:val="00946360"/>
    <w:rsid w:val="009546DA"/>
    <w:rsid w:val="00957FEC"/>
    <w:rsid w:val="00985BD1"/>
    <w:rsid w:val="00995592"/>
    <w:rsid w:val="009B04E3"/>
    <w:rsid w:val="009B79ED"/>
    <w:rsid w:val="009C10D5"/>
    <w:rsid w:val="009F2DE2"/>
    <w:rsid w:val="009F5071"/>
    <w:rsid w:val="009F669F"/>
    <w:rsid w:val="00A0539A"/>
    <w:rsid w:val="00A20006"/>
    <w:rsid w:val="00A2281E"/>
    <w:rsid w:val="00A31E2F"/>
    <w:rsid w:val="00A32582"/>
    <w:rsid w:val="00A32951"/>
    <w:rsid w:val="00A33F1E"/>
    <w:rsid w:val="00A40CA0"/>
    <w:rsid w:val="00A5152A"/>
    <w:rsid w:val="00A55EC4"/>
    <w:rsid w:val="00A64238"/>
    <w:rsid w:val="00A6543E"/>
    <w:rsid w:val="00A709C4"/>
    <w:rsid w:val="00A775DE"/>
    <w:rsid w:val="00A84F66"/>
    <w:rsid w:val="00A947A0"/>
    <w:rsid w:val="00AA0C7E"/>
    <w:rsid w:val="00AC1B5D"/>
    <w:rsid w:val="00AD1B0F"/>
    <w:rsid w:val="00AD1C4D"/>
    <w:rsid w:val="00AD21E8"/>
    <w:rsid w:val="00AE4E43"/>
    <w:rsid w:val="00AF1910"/>
    <w:rsid w:val="00AF57A3"/>
    <w:rsid w:val="00B029A0"/>
    <w:rsid w:val="00B03550"/>
    <w:rsid w:val="00B16642"/>
    <w:rsid w:val="00B339A4"/>
    <w:rsid w:val="00B34915"/>
    <w:rsid w:val="00B42E78"/>
    <w:rsid w:val="00B728AB"/>
    <w:rsid w:val="00BA21AA"/>
    <w:rsid w:val="00BA2700"/>
    <w:rsid w:val="00BA60F0"/>
    <w:rsid w:val="00BC0513"/>
    <w:rsid w:val="00BC17DC"/>
    <w:rsid w:val="00BC4A54"/>
    <w:rsid w:val="00BC5431"/>
    <w:rsid w:val="00BD0085"/>
    <w:rsid w:val="00BD3C27"/>
    <w:rsid w:val="00BD536D"/>
    <w:rsid w:val="00BE1313"/>
    <w:rsid w:val="00BF080B"/>
    <w:rsid w:val="00BF77D0"/>
    <w:rsid w:val="00C20220"/>
    <w:rsid w:val="00C34B5A"/>
    <w:rsid w:val="00C466B2"/>
    <w:rsid w:val="00C557EE"/>
    <w:rsid w:val="00C60E98"/>
    <w:rsid w:val="00C64166"/>
    <w:rsid w:val="00C668BB"/>
    <w:rsid w:val="00C916E1"/>
    <w:rsid w:val="00C973BA"/>
    <w:rsid w:val="00CC22AC"/>
    <w:rsid w:val="00CC37E2"/>
    <w:rsid w:val="00CE378A"/>
    <w:rsid w:val="00D34AF2"/>
    <w:rsid w:val="00D41772"/>
    <w:rsid w:val="00D57155"/>
    <w:rsid w:val="00DA0656"/>
    <w:rsid w:val="00DC538A"/>
    <w:rsid w:val="00DD4940"/>
    <w:rsid w:val="00DD5598"/>
    <w:rsid w:val="00DE1A8B"/>
    <w:rsid w:val="00DF13AE"/>
    <w:rsid w:val="00DF62AD"/>
    <w:rsid w:val="00E07931"/>
    <w:rsid w:val="00E21D0E"/>
    <w:rsid w:val="00E23634"/>
    <w:rsid w:val="00E3605E"/>
    <w:rsid w:val="00E4112E"/>
    <w:rsid w:val="00E451FA"/>
    <w:rsid w:val="00E45495"/>
    <w:rsid w:val="00E5247A"/>
    <w:rsid w:val="00E62A96"/>
    <w:rsid w:val="00E72862"/>
    <w:rsid w:val="00E75257"/>
    <w:rsid w:val="00E840B5"/>
    <w:rsid w:val="00E97852"/>
    <w:rsid w:val="00E979AC"/>
    <w:rsid w:val="00EA67EA"/>
    <w:rsid w:val="00ED120D"/>
    <w:rsid w:val="00EE36AD"/>
    <w:rsid w:val="00EE568B"/>
    <w:rsid w:val="00EF5F7F"/>
    <w:rsid w:val="00EF6049"/>
    <w:rsid w:val="00F14A2A"/>
    <w:rsid w:val="00F50DE5"/>
    <w:rsid w:val="00F75405"/>
    <w:rsid w:val="00F82EF8"/>
    <w:rsid w:val="00F8318F"/>
    <w:rsid w:val="00F833D9"/>
    <w:rsid w:val="00F8650C"/>
    <w:rsid w:val="00F97335"/>
    <w:rsid w:val="00FA68A3"/>
    <w:rsid w:val="00FE4346"/>
    <w:rsid w:val="00FF522A"/>
    <w:rsid w:val="00FF7A5D"/>
    <w:rsid w:val="0CEE0A50"/>
    <w:rsid w:val="1D9C1562"/>
    <w:rsid w:val="23F233C8"/>
    <w:rsid w:val="39251D60"/>
    <w:rsid w:val="4B810803"/>
    <w:rsid w:val="5A6E58A5"/>
    <w:rsid w:val="6D5F2DF9"/>
    <w:rsid w:val="750252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semiHidden/>
    <w:unhideWhenUsed/>
    <w:qFormat/>
    <w:uiPriority w:val="99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p16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3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5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BE5A3-1C40-4FC0-8BB3-4CF9D64D6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8</Pages>
  <Words>444</Words>
  <Characters>2537</Characters>
  <Lines>21</Lines>
  <Paragraphs>5</Paragraphs>
  <TotalTime>32</TotalTime>
  <ScaleCrop>false</ScaleCrop>
  <LinksUpToDate>false</LinksUpToDate>
  <CharactersWithSpaces>2976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2019-05-09T03:27:00Z</dcterms:created>
  <dc:creator>China</dc:creator>
  <cp:lastModifiedBy>--------</cp:lastModifiedBy>
  <cp:lastPrinted>2020-09-10T07:31:00Z</cp:lastPrinted>
  <dcterms:modified xsi:type="dcterms:W3CDTF">2020-09-10T08:22:51Z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