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page" w:tblpX="1558" w:tblpY="251"/>
        <w:tblOverlap w:val="never"/>
        <w:tblW w:w="136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1932"/>
        <w:gridCol w:w="1032"/>
        <w:gridCol w:w="1169"/>
        <w:gridCol w:w="1090"/>
        <w:gridCol w:w="1169"/>
        <w:gridCol w:w="1209"/>
        <w:gridCol w:w="906"/>
        <w:gridCol w:w="1294"/>
        <w:gridCol w:w="1038"/>
        <w:gridCol w:w="10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6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重庆市商务信息和数据中心2020年公招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进入体检人员名单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3600" w:type="dxa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2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公共科目成绩</w:t>
            </w:r>
          </w:p>
        </w:tc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专业科目成绩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12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分数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40%</w:t>
            </w: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22492213924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19.2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22492213922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21.75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21.6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66.2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26.48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69.83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软件工程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22492213928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18.45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30.72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69.27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22491214021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22.65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14.1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77.4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30.96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67.71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22491214030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23.85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13.2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71.8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28.72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65.77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22491214020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18.15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74.2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29.68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64.03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22441131510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25.35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20.7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33.6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22441131403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24.15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76.5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22.95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32.4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新媒体编辑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22441142924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21.9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29.2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D045F"/>
    <w:rsid w:val="472D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2020-08-17T07:42:00Z</dcterms:created>
  <dc:creator>山水水木</dc:creator>
  <cp:lastModifiedBy>山水水木</cp:lastModifiedBy>
  <dcterms:modified xsi:type="dcterms:W3CDTF">2020-08-17T07:43:30Z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